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B9" w:rsidRPr="00A5768E" w:rsidRDefault="003E3298" w:rsidP="00C20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 xml:space="preserve"> </w:t>
      </w:r>
      <w:r w:rsidR="00C201B9" w:rsidRPr="00A5768E">
        <w:rPr>
          <w:rFonts w:ascii="Times New Roman" w:hAnsi="Times New Roman" w:cs="Times New Roman"/>
          <w:b/>
          <w:sz w:val="28"/>
          <w:szCs w:val="28"/>
        </w:rPr>
        <w:t>Современное понимание педагогики развития</w:t>
      </w:r>
    </w:p>
    <w:p w:rsidR="00C201B9" w:rsidRDefault="00C201B9" w:rsidP="00C201B9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В.Г.Васильев</w:t>
      </w:r>
    </w:p>
    <w:p w:rsidR="00C201B9" w:rsidRPr="00C201B9" w:rsidRDefault="00C201B9" w:rsidP="00C20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(Аннотация)</w:t>
      </w:r>
    </w:p>
    <w:p w:rsidR="00C201B9" w:rsidRPr="00A5768E" w:rsidRDefault="00C201B9" w:rsidP="00C201B9">
      <w:pPr>
        <w:pStyle w:val="a3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Исторический и социальный взгляд на образование показывают, что образованность всегда была мерилом успешности, возможностей, конкурентной способности человека, критерием человеческого потенциала. Того, что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 «усилием  </w:t>
      </w:r>
      <w:r w:rsidRPr="00A5768E">
        <w:rPr>
          <w:rFonts w:ascii="Times New Roman" w:hAnsi="Times New Roman" w:cs="Times New Roman"/>
          <w:sz w:val="28"/>
          <w:szCs w:val="28"/>
        </w:rPr>
        <w:t>человека быть человеком»</w:t>
      </w:r>
    </w:p>
    <w:p w:rsidR="00C201B9" w:rsidRDefault="00C201B9" w:rsidP="00C201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особенно при переходе к массовому детскому образованию возникают задачи атрибутивного характера, - развитие и становление в детях способностей, присущих всем людям (например, уметь писать, читать и считать).</w:t>
      </w:r>
    </w:p>
    <w:p w:rsidR="00C201B9" w:rsidRPr="00C201B9" w:rsidRDefault="00C201B9" w:rsidP="00C201B9">
      <w:pPr>
        <w:jc w:val="center"/>
        <w:rPr>
          <w:rFonts w:ascii="Times New Roman" w:hAnsi="Times New Roman" w:cs="Times New Roman"/>
          <w:b/>
        </w:rPr>
      </w:pPr>
      <w:r w:rsidRPr="00C201B9">
        <w:rPr>
          <w:rFonts w:ascii="Times New Roman" w:hAnsi="Times New Roman" w:cs="Times New Roman"/>
          <w:b/>
        </w:rPr>
        <w:t xml:space="preserve">Опубликовано: Сборник материалов </w:t>
      </w:r>
      <w:r w:rsidRPr="00C201B9">
        <w:rPr>
          <w:rFonts w:ascii="Times New Roman" w:hAnsi="Times New Roman" w:cs="Times New Roman"/>
          <w:b/>
          <w:lang w:val="en-US"/>
        </w:rPr>
        <w:t>IV</w:t>
      </w:r>
      <w:r w:rsidRPr="00C201B9">
        <w:rPr>
          <w:rFonts w:ascii="Times New Roman" w:hAnsi="Times New Roman" w:cs="Times New Roman"/>
          <w:b/>
        </w:rPr>
        <w:t>-</w:t>
      </w:r>
      <w:proofErr w:type="spellStart"/>
      <w:r w:rsidRPr="00C201B9">
        <w:rPr>
          <w:rFonts w:ascii="Times New Roman" w:hAnsi="Times New Roman" w:cs="Times New Roman"/>
          <w:b/>
        </w:rPr>
        <w:t>й</w:t>
      </w:r>
      <w:proofErr w:type="spellEnd"/>
      <w:r w:rsidRPr="00C201B9">
        <w:rPr>
          <w:rFonts w:ascii="Times New Roman" w:hAnsi="Times New Roman" w:cs="Times New Roman"/>
          <w:b/>
        </w:rPr>
        <w:t xml:space="preserve"> научно-методической конференции «Современная дидактика и качество образования: обеспечение индивидуального прогресса в обучении»: - Красноярск, январь 2012. Красноярск,  ИПК, 2012, с. 156-160.</w:t>
      </w: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1B9" w:rsidRDefault="00C201B9" w:rsidP="003C4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98D" w:rsidRPr="00A5768E" w:rsidRDefault="003C498D" w:rsidP="003C4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8E">
        <w:rPr>
          <w:rFonts w:ascii="Times New Roman" w:hAnsi="Times New Roman" w:cs="Times New Roman"/>
          <w:b/>
          <w:sz w:val="28"/>
          <w:szCs w:val="28"/>
        </w:rPr>
        <w:lastRenderedPageBreak/>
        <w:t>Современное понимание педагогики развития</w:t>
      </w:r>
    </w:p>
    <w:p w:rsidR="003E3298" w:rsidRPr="003E3298" w:rsidRDefault="003E3298" w:rsidP="001E0088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В.Г.Васильев</w:t>
      </w:r>
    </w:p>
    <w:p w:rsidR="00FC75B2" w:rsidRPr="003E3298" w:rsidRDefault="003E3298" w:rsidP="001E00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Современная дидактика, </w:t>
      </w:r>
      <w:r w:rsidRPr="003E3298">
        <w:rPr>
          <w:rFonts w:ascii="Times New Roman" w:hAnsi="Times New Roman" w:cs="Times New Roman"/>
          <w:sz w:val="28"/>
          <w:szCs w:val="28"/>
        </w:rPr>
        <w:t>январь 2012)</w:t>
      </w:r>
    </w:p>
    <w:p w:rsidR="00F845A8" w:rsidRPr="00A5768E" w:rsidRDefault="00F845A8" w:rsidP="00F845A8">
      <w:pPr>
        <w:pStyle w:val="a3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и социальный взгляд на образование показывают</w:t>
      </w:r>
      <w:r w:rsidR="00D21DA8">
        <w:rPr>
          <w:rFonts w:ascii="Times New Roman" w:hAnsi="Times New Roman" w:cs="Times New Roman"/>
          <w:sz w:val="28"/>
          <w:szCs w:val="28"/>
        </w:rPr>
        <w:t>, что образованность всегда была</w:t>
      </w:r>
      <w:r>
        <w:rPr>
          <w:rFonts w:ascii="Times New Roman" w:hAnsi="Times New Roman" w:cs="Times New Roman"/>
          <w:sz w:val="28"/>
          <w:szCs w:val="28"/>
        </w:rPr>
        <w:t xml:space="preserve"> мерилом успешности, возможностей, конкурентной способности человека, критерием человеческого потенциала. Того, что М.</w:t>
      </w:r>
      <w:r w:rsidR="00C20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 «усилием  </w:t>
      </w:r>
      <w:r w:rsidRPr="00A5768E">
        <w:rPr>
          <w:rFonts w:ascii="Times New Roman" w:hAnsi="Times New Roman" w:cs="Times New Roman"/>
          <w:sz w:val="28"/>
          <w:szCs w:val="28"/>
        </w:rPr>
        <w:t>человека быть человеком»</w: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особенно при переходе к массовому детскому образованию возникают задачи атрибутивного характера, - развитие и становление в детях способностей, присущих всем людям (например, уметь писать, читать и считать).</w:t>
      </w:r>
    </w:p>
    <w:p w:rsidR="00F845A8" w:rsidRPr="00F70604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пространстве всего образования можно выделить два диалектически противоположных полюса и векторную линию напряжения между ними. Эта линия связывает полюс решения задач развития человеческого потенциала, конкурентоспособности (полюс РЧП) с полюсом решения</w:t>
      </w:r>
      <w:r w:rsidRPr="00D3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атрибутивных задач (полюс РАЗ). (О поляризации образовательных пространств см.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1 ].)</w: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59593E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9" type="#_x0000_t185" style="position:absolute;left:0;text-align:left;margin-left:35.25pt;margin-top:17.3pt;width:137.7pt;height:78.75pt;z-index:251640320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left:0;text-align:left;margin-left:43.7pt;margin-top:17.3pt;width:28.35pt;height:27pt;z-index:251641344" strokeweight="2.25pt"/>
        </w:pict>
      </w:r>
    </w:p>
    <w:p w:rsidR="00F845A8" w:rsidRDefault="0059593E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185" style="position:absolute;left:0;text-align:left;margin-left:333.2pt;margin-top:7.8pt;width:123.25pt;height:66pt;z-index:251642368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4" type="#_x0000_t5" style="position:absolute;left:0;text-align:left;margin-left:338.85pt;margin-top:35.35pt;width:17pt;height:31.2pt;rotation:180;z-index:251643392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5" style="position:absolute;left:0;text-align:left;margin-left:408.2pt;margin-top:35.35pt;width:17pt;height:34pt;rotation:180;z-index:251644416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0" style="position:absolute;left:0;text-align:left;margin-left:435.6pt;margin-top:14.55pt;width:17pt;height:17pt;z-index:25164544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9" style="position:absolute;left:0;text-align:left;margin-left:408.2pt;margin-top:14.55pt;width:17pt;height:17pt;z-index:251646464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5" style="position:absolute;left:0;text-align:left;margin-left:435.6pt;margin-top:35.35pt;width:17pt;height:31.2pt;rotation:180;z-index:251647488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left:0;text-align:left;margin-left:338.85pt;margin-top:14.55pt;width:17pt;height:17pt;z-index:251648512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left:0;text-align:left;margin-left:123.95pt;margin-top:14.55pt;width:17pt;height:17pt;z-index:251649536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left:0;text-align:left;margin-left:151.35pt;margin-top:14.55pt;width:17pt;height:17pt;z-index:251650560" strokeweight="2.25pt"/>
        </w:pict>
      </w:r>
    </w:p>
    <w:p w:rsidR="00F845A8" w:rsidRDefault="0059593E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86.45pt;margin-top:16.85pt;width:140.25pt;height:0;z-index:251651584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367.2pt;margin-top:16.85pt;width:28.5pt;height:0;z-index:25165260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89.7pt;margin-top:16.85pt;width:28.35pt;height:11.45pt;z-index:25165363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5" style="position:absolute;left:0;text-align:left;margin-left:123.95pt;margin-top:16.85pt;width:17pt;height:34pt;rotation:180;z-index:251654656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5" style="position:absolute;left:0;text-align:left;margin-left:151.35pt;margin-top:16.85pt;width:17pt;height:31.2pt;rotation:180;z-index:25165568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5" style="position:absolute;left:0;text-align:left;margin-left:40.9pt;margin-top:11.05pt;width:34pt;height:44.25pt;rotation:180;z-index:251656704" strokeweight="2.25pt"/>
        </w:pict>
      </w:r>
    </w:p>
    <w:p w:rsidR="00F845A8" w:rsidRDefault="0059593E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67.2pt;margin-top:8.75pt;width:28.5pt;height:0;z-index:25165772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89.7pt;margin-top:9.75pt;width:28.35pt;height:6.75pt;flip:x;z-index:251658752" o:connectortype="straight" strokeweight="2.25pt"/>
        </w:pict>
      </w:r>
      <w:r w:rsidR="00F84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Полюс РЧП                                                            Полюс РАЗ          </w: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задача обмена  культурой, обмена знаниями, информацией предполагает создание взаимно приращенного общего представления из отдельных равномощных представлений, принадлежащим разным людям. Наиболее сильно здесь работают техники коммуникации и понимания, и предельно представлена субъектность. Это  задает еще один полюс, полюс обмена знаниями (полюс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>). Этому полюсу противопоставлен полюс трансляции культуры методом воспроизводства при смене поколений (полюс ТК).</w:t>
      </w:r>
      <w:r w:rsidRPr="00DA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полюс, где предельно разведены позиции и роли учителя или тьютора и ученика, и где культура воспроизводится без приращения. Вторая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векторная линия напряжения связывает полюс обмена знаниями (полюс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>) с полюсом трансляции культуры (полюс ТК).</w:t>
      </w:r>
      <w:r w:rsidRPr="00C1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59593E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72.05pt;margin-top:53.85pt;width:43.15pt;height:.75pt;flip:y;z-index:251659776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5" style="position:absolute;left:0;text-align:left;margin-left:32.4pt;margin-top:47.3pt;width:34pt;height:44.25pt;rotation:180;z-index:25166080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9" style="position:absolute;left:0;text-align:left;margin-left:35.2pt;margin-top:16.55pt;width:28.35pt;height:27pt;z-index:251661824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5" style="position:absolute;left:0;text-align:left;margin-left:115.2pt;margin-top:47.3pt;width:34pt;height:44.25pt;rotation:180;z-index:251662848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left:0;text-align:left;margin-left:118pt;margin-top:16.55pt;width:28.35pt;height:27pt;z-index:251663872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4" style="position:absolute;left:0;text-align:left;margin-left:419.5pt;margin-top:31.8pt;width:17pt;height:17pt;z-index:251664896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5" style="position:absolute;left:0;text-align:left;margin-left:419.5pt;margin-top:52.6pt;width:17pt;height:31.2pt;rotation:180;z-index:25166592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369.75pt;margin-top:59.85pt;width:43.5pt;height:0;z-index:25166694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5" style="position:absolute;left:0;text-align:left;margin-left:327.5pt;margin-top:43.55pt;width:34pt;height:44.25pt;rotation:180;z-index:251667968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3" style="position:absolute;left:0;text-align:left;margin-left:330.3pt;margin-top:12.8pt;width:28.35pt;height:27pt;z-index:251668992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185" style="position:absolute;left:0;text-align:left;margin-left:321pt;margin-top:12.8pt;width:125.9pt;height:75pt;z-index:251670016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185" style="position:absolute;left:0;text-align:left;margin-left:23.1pt;margin-top:16.55pt;width:132.75pt;height:80.8pt;z-index:251671040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176.1pt;margin-top:53.85pt;width:140.25pt;height:0;z-index:251672064" o:connectortype="straight" strokeweight="3pt">
            <v:stroke startarrow="block" endarrow="block"/>
          </v:shape>
        </w:pic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Полюс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Полюс ТК </w: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можно сказать, что все образовательное пространство поляризуется</w:t>
      </w:r>
      <w:r w:rsidRPr="00BA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 неколлинеарными векторными направлениями.</w:t>
      </w:r>
    </w:p>
    <w:p w:rsidR="00F845A8" w:rsidRPr="008C2BDC" w:rsidRDefault="0059593E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185" style="position:absolute;left:0;text-align:left;margin-left:41.7pt;margin-top:13.5pt;width:358.5pt;height:121.5pt;z-index:251673088" strokeweight="1.5pt"/>
        </w:pict>
      </w:r>
    </w:p>
    <w:p w:rsidR="00F845A8" w:rsidRDefault="0059593E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144.45pt;margin-top:17.5pt;width:158.25pt;height:72.75pt;flip:y;z-index:251674112" o:connectortype="straight" strokeweight="2.25pt">
            <v:stroke startarrow="block" endarrow="block"/>
          </v:shape>
        </w:pict>
      </w:r>
      <w:r w:rsidR="00F845A8">
        <w:rPr>
          <w:rFonts w:ascii="Times New Roman" w:hAnsi="Times New Roman" w:cs="Times New Roman"/>
          <w:sz w:val="28"/>
          <w:szCs w:val="28"/>
        </w:rPr>
        <w:t xml:space="preserve">      Полюс РЧП                                                     Полюс ТК     </w:t>
      </w:r>
    </w:p>
    <w:p w:rsidR="00F845A8" w:rsidRDefault="0059593E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140.7pt;margin-top:3.5pt;width:165.75pt;height:68.25pt;z-index:251675136" o:connectortype="straight" strokeweight="2.25pt">
            <v:stroke startarrow="block" endarrow="block"/>
          </v:shape>
        </w:pic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Полюс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Полюс РАЗ      </w: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Поляризованное образовательное пространство</w:t>
      </w: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A8" w:rsidRDefault="00F845A8" w:rsidP="00F845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система координат позволяет понимать не только задачи образовательной политики, связанные с массовым или конкурентным </w:t>
      </w:r>
      <w:r w:rsidRPr="00397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образованием, она определяет направления развития современной дидактики.</w:t>
      </w:r>
    </w:p>
    <w:p w:rsidR="00666E3B" w:rsidRPr="003E3298" w:rsidRDefault="00CC62A4" w:rsidP="00917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>С</w:t>
      </w:r>
      <w:r w:rsidR="003A0BDB" w:rsidRPr="003E3298">
        <w:rPr>
          <w:rFonts w:ascii="Times New Roman" w:hAnsi="Times New Roman" w:cs="Times New Roman"/>
          <w:sz w:val="28"/>
          <w:szCs w:val="28"/>
        </w:rPr>
        <w:t xml:space="preserve">овременные проблемы развития и задачи модернизации образования, содержащиеся в многочисленных исследованиях и документах, </w:t>
      </w:r>
      <w:r w:rsidRPr="003E3298">
        <w:rPr>
          <w:rFonts w:ascii="Times New Roman" w:hAnsi="Times New Roman" w:cs="Times New Roman"/>
          <w:sz w:val="28"/>
          <w:szCs w:val="28"/>
        </w:rPr>
        <w:t xml:space="preserve">и их </w:t>
      </w:r>
      <w:r w:rsidR="003A0BDB" w:rsidRPr="003E3298">
        <w:rPr>
          <w:rFonts w:ascii="Times New Roman" w:hAnsi="Times New Roman" w:cs="Times New Roman"/>
          <w:sz w:val="28"/>
          <w:szCs w:val="28"/>
        </w:rPr>
        <w:t>отражен</w:t>
      </w:r>
      <w:r w:rsidRPr="003E3298">
        <w:rPr>
          <w:rFonts w:ascii="Times New Roman" w:hAnsi="Times New Roman" w:cs="Times New Roman"/>
          <w:sz w:val="28"/>
          <w:szCs w:val="28"/>
        </w:rPr>
        <w:t>ие</w:t>
      </w:r>
      <w:r w:rsidR="003A0BDB" w:rsidRPr="003E3298">
        <w:rPr>
          <w:rFonts w:ascii="Times New Roman" w:hAnsi="Times New Roman" w:cs="Times New Roman"/>
          <w:sz w:val="28"/>
          <w:szCs w:val="28"/>
        </w:rPr>
        <w:t xml:space="preserve"> в Федеральных государственных образователь</w:t>
      </w:r>
      <w:r w:rsidRPr="003E3298">
        <w:rPr>
          <w:rFonts w:ascii="Times New Roman" w:hAnsi="Times New Roman" w:cs="Times New Roman"/>
          <w:sz w:val="28"/>
          <w:szCs w:val="28"/>
        </w:rPr>
        <w:t>ных стандартах нового поколения создали парадоксальную ситуацию, когда «верхи»</w:t>
      </w:r>
      <w:r w:rsidR="00D24C54" w:rsidRPr="003E3298">
        <w:rPr>
          <w:rFonts w:ascii="Times New Roman" w:hAnsi="Times New Roman" w:cs="Times New Roman"/>
          <w:sz w:val="28"/>
          <w:szCs w:val="28"/>
        </w:rPr>
        <w:t xml:space="preserve"> </w:t>
      </w:r>
      <w:r w:rsidRPr="003E3298">
        <w:rPr>
          <w:rFonts w:ascii="Times New Roman" w:hAnsi="Times New Roman" w:cs="Times New Roman"/>
          <w:sz w:val="28"/>
          <w:szCs w:val="28"/>
        </w:rPr>
        <w:t xml:space="preserve"> хотят, а «низы» не могут жить по</w:t>
      </w:r>
      <w:r w:rsidR="00F23E7B">
        <w:rPr>
          <w:rFonts w:ascii="Times New Roman" w:hAnsi="Times New Roman" w:cs="Times New Roman"/>
          <w:sz w:val="28"/>
          <w:szCs w:val="28"/>
        </w:rPr>
        <w:t>-</w:t>
      </w:r>
      <w:r w:rsidR="00D24C54" w:rsidRPr="003E3298">
        <w:rPr>
          <w:rFonts w:ascii="Times New Roman" w:hAnsi="Times New Roman" w:cs="Times New Roman"/>
          <w:sz w:val="28"/>
          <w:szCs w:val="28"/>
        </w:rPr>
        <w:t>новому.</w:t>
      </w:r>
      <w:r w:rsidR="00B84E9D">
        <w:rPr>
          <w:rFonts w:ascii="Times New Roman" w:hAnsi="Times New Roman" w:cs="Times New Roman"/>
          <w:sz w:val="28"/>
          <w:szCs w:val="28"/>
        </w:rPr>
        <w:t xml:space="preserve"> Связано это с тем, что проблемы развития и модернизации образования, отраженные в содержании современных стандартов, ориентированы на решение задач конкурентоспособности </w:t>
      </w:r>
      <w:r w:rsidR="00F23E7B"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="00B84E9D">
        <w:rPr>
          <w:rFonts w:ascii="Times New Roman" w:hAnsi="Times New Roman" w:cs="Times New Roman"/>
          <w:sz w:val="28"/>
          <w:szCs w:val="28"/>
        </w:rPr>
        <w:t>страны в целом, на развитие человеческого потенциала, а</w:t>
      </w:r>
      <w:r w:rsidR="00F23E7B">
        <w:rPr>
          <w:rFonts w:ascii="Times New Roman" w:hAnsi="Times New Roman" w:cs="Times New Roman"/>
          <w:sz w:val="28"/>
          <w:szCs w:val="28"/>
        </w:rPr>
        <w:t>,</w:t>
      </w:r>
      <w:r w:rsidR="00B84E9D">
        <w:rPr>
          <w:rFonts w:ascii="Times New Roman" w:hAnsi="Times New Roman" w:cs="Times New Roman"/>
          <w:sz w:val="28"/>
          <w:szCs w:val="28"/>
        </w:rPr>
        <w:t xml:space="preserve"> следовательно, на конкурентную способность каждого </w:t>
      </w:r>
      <w:r w:rsidR="00F23E7B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B84E9D">
        <w:rPr>
          <w:rFonts w:ascii="Times New Roman" w:hAnsi="Times New Roman" w:cs="Times New Roman"/>
          <w:sz w:val="28"/>
          <w:szCs w:val="28"/>
        </w:rPr>
        <w:t>человека</w:t>
      </w:r>
      <w:r w:rsidR="00F23E7B">
        <w:rPr>
          <w:rFonts w:ascii="Times New Roman" w:hAnsi="Times New Roman" w:cs="Times New Roman"/>
          <w:sz w:val="28"/>
          <w:szCs w:val="28"/>
        </w:rPr>
        <w:t xml:space="preserve">. А стандарт по своей форме должен решать проблемы массового образования, решая в первую очередь атрибутивные задачи. </w:t>
      </w:r>
    </w:p>
    <w:p w:rsidR="00D24C54" w:rsidRPr="003E3298" w:rsidRDefault="00D24C54" w:rsidP="009177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298">
        <w:rPr>
          <w:rFonts w:ascii="Times New Roman" w:hAnsi="Times New Roman" w:cs="Times New Roman"/>
          <w:sz w:val="28"/>
          <w:szCs w:val="28"/>
        </w:rPr>
        <w:lastRenderedPageBreak/>
        <w:t xml:space="preserve">Так в стандартах начального общего образования и основного общего образования стоит тройственная задача формирования личностных, </w:t>
      </w:r>
      <w:proofErr w:type="spellStart"/>
      <w:r w:rsidRPr="003E329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E3298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  <w:proofErr w:type="gramStart"/>
      <w:r w:rsidRPr="003E3298">
        <w:rPr>
          <w:rFonts w:ascii="Times New Roman" w:hAnsi="Times New Roman" w:cs="Times New Roman"/>
          <w:sz w:val="28"/>
          <w:szCs w:val="28"/>
        </w:rPr>
        <w:t>Судя по требованиям к этим результатам и по требованиям к структуре основной образовательной программы, - обязательных в ней (образовательных) подпрограмм по воспитанию, по формированию универсальных учебных действий, по коррекционной работе, по безопасност</w:t>
      </w:r>
      <w:r w:rsidR="00AF29C5" w:rsidRPr="003E3298">
        <w:rPr>
          <w:rFonts w:ascii="Times New Roman" w:hAnsi="Times New Roman" w:cs="Times New Roman"/>
          <w:sz w:val="28"/>
          <w:szCs w:val="28"/>
        </w:rPr>
        <w:t>и, по экол</w:t>
      </w:r>
      <w:r w:rsidR="00B019D7" w:rsidRPr="003E3298">
        <w:rPr>
          <w:rFonts w:ascii="Times New Roman" w:hAnsi="Times New Roman" w:cs="Times New Roman"/>
          <w:sz w:val="28"/>
          <w:szCs w:val="28"/>
        </w:rPr>
        <w:t>о</w:t>
      </w:r>
      <w:r w:rsidR="00AF29C5" w:rsidRPr="003E3298">
        <w:rPr>
          <w:rFonts w:ascii="Times New Roman" w:hAnsi="Times New Roman" w:cs="Times New Roman"/>
          <w:sz w:val="28"/>
          <w:szCs w:val="28"/>
        </w:rPr>
        <w:t>гическому воспитанию,</w:t>
      </w:r>
      <w:r w:rsidRPr="003E3298">
        <w:rPr>
          <w:rFonts w:ascii="Times New Roman" w:hAnsi="Times New Roman" w:cs="Times New Roman"/>
          <w:sz w:val="28"/>
          <w:szCs w:val="28"/>
        </w:rPr>
        <w:t xml:space="preserve"> здоровью и рабочих программ по  предметам, достижение этих трех типов образовательных результатов не является простой, традиционной задачей.</w:t>
      </w:r>
      <w:proofErr w:type="gramEnd"/>
      <w:r w:rsidRPr="003E3298">
        <w:rPr>
          <w:rFonts w:ascii="Times New Roman" w:hAnsi="Times New Roman" w:cs="Times New Roman"/>
          <w:sz w:val="28"/>
          <w:szCs w:val="28"/>
        </w:rPr>
        <w:t xml:space="preserve"> </w:t>
      </w:r>
      <w:r w:rsidRPr="003E3298">
        <w:rPr>
          <w:rFonts w:ascii="Times New Roman" w:hAnsi="Times New Roman" w:cs="Times New Roman"/>
          <w:b/>
          <w:sz w:val="28"/>
          <w:szCs w:val="28"/>
        </w:rPr>
        <w:t>При этом первородную задачу начальной школы, достойно научить детей читать</w:t>
      </w:r>
      <w:r w:rsidR="005B5DC8">
        <w:rPr>
          <w:rFonts w:ascii="Times New Roman" w:hAnsi="Times New Roman" w:cs="Times New Roman"/>
          <w:b/>
          <w:sz w:val="28"/>
          <w:szCs w:val="28"/>
        </w:rPr>
        <w:t>,</w:t>
      </w:r>
      <w:r w:rsidRPr="003E3298">
        <w:rPr>
          <w:rFonts w:ascii="Times New Roman" w:hAnsi="Times New Roman" w:cs="Times New Roman"/>
          <w:b/>
          <w:sz w:val="28"/>
          <w:szCs w:val="28"/>
        </w:rPr>
        <w:t xml:space="preserve"> писать и считать, ни психологически, ни организационно никто  не снимает, и </w:t>
      </w:r>
      <w:r w:rsidRPr="003E329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детского времени на учебную работу никто не увеличивает. </w:t>
      </w:r>
    </w:p>
    <w:p w:rsidR="00AF29C5" w:rsidRPr="003E3298" w:rsidRDefault="00AF29C5" w:rsidP="00917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 xml:space="preserve">Учебники есть только для рабочих программ. Но и они не являются во всей полноте достаточными для получения предметных результатов. Например, </w:t>
      </w:r>
      <w:r w:rsidR="00BB40AB">
        <w:rPr>
          <w:rFonts w:ascii="Times New Roman" w:hAnsi="Times New Roman" w:cs="Times New Roman"/>
          <w:sz w:val="28"/>
          <w:szCs w:val="28"/>
        </w:rPr>
        <w:t xml:space="preserve">для начальной школы </w:t>
      </w:r>
      <w:r w:rsidRPr="003E3298">
        <w:rPr>
          <w:rFonts w:ascii="Times New Roman" w:hAnsi="Times New Roman" w:cs="Times New Roman"/>
          <w:sz w:val="28"/>
          <w:szCs w:val="28"/>
        </w:rPr>
        <w:t>в них не отраж</w:t>
      </w:r>
      <w:r w:rsidR="00BB40AB">
        <w:rPr>
          <w:rFonts w:ascii="Times New Roman" w:hAnsi="Times New Roman" w:cs="Times New Roman"/>
          <w:sz w:val="28"/>
          <w:szCs w:val="28"/>
        </w:rPr>
        <w:t>ено, как следует достигать такие</w:t>
      </w:r>
      <w:r w:rsidRPr="003E329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B40AB">
        <w:rPr>
          <w:rFonts w:ascii="Times New Roman" w:hAnsi="Times New Roman" w:cs="Times New Roman"/>
          <w:sz w:val="28"/>
          <w:szCs w:val="28"/>
        </w:rPr>
        <w:t>ы</w:t>
      </w:r>
      <w:r w:rsidRPr="003E3298">
        <w:rPr>
          <w:rFonts w:ascii="Times New Roman" w:hAnsi="Times New Roman" w:cs="Times New Roman"/>
          <w:sz w:val="28"/>
          <w:szCs w:val="28"/>
        </w:rPr>
        <w:t xml:space="preserve"> (цитирую</w:t>
      </w:r>
      <w:r w:rsidR="006C2C68">
        <w:rPr>
          <w:rFonts w:ascii="Times New Roman" w:hAnsi="Times New Roman" w:cs="Times New Roman"/>
          <w:sz w:val="28"/>
          <w:szCs w:val="28"/>
        </w:rPr>
        <w:t xml:space="preserve"> из ФГОС</w:t>
      </w:r>
      <w:r w:rsidR="009E09AE">
        <w:rPr>
          <w:rFonts w:ascii="Times New Roman" w:hAnsi="Times New Roman" w:cs="Times New Roman"/>
          <w:sz w:val="28"/>
          <w:szCs w:val="28"/>
        </w:rPr>
        <w:t xml:space="preserve"> </w:t>
      </w:r>
      <w:r w:rsidR="006C2C68">
        <w:rPr>
          <w:rFonts w:ascii="Times New Roman" w:hAnsi="Times New Roman" w:cs="Times New Roman"/>
          <w:sz w:val="28"/>
          <w:szCs w:val="28"/>
        </w:rPr>
        <w:t>НО</w:t>
      </w:r>
      <w:r w:rsidR="00BC6F65">
        <w:rPr>
          <w:rFonts w:ascii="Times New Roman" w:hAnsi="Times New Roman" w:cs="Times New Roman"/>
          <w:sz w:val="28"/>
          <w:szCs w:val="28"/>
        </w:rPr>
        <w:t>О</w:t>
      </w:r>
      <w:r w:rsidRPr="003E3298">
        <w:rPr>
          <w:rFonts w:ascii="Times New Roman" w:hAnsi="Times New Roman" w:cs="Times New Roman"/>
          <w:sz w:val="28"/>
          <w:szCs w:val="28"/>
        </w:rPr>
        <w:t>)</w:t>
      </w:r>
      <w:r w:rsidR="00B15A34" w:rsidRPr="003E3298">
        <w:rPr>
          <w:rFonts w:ascii="Times New Roman" w:hAnsi="Times New Roman" w:cs="Times New Roman"/>
          <w:sz w:val="28"/>
          <w:szCs w:val="28"/>
        </w:rPr>
        <w:t>: «</w:t>
      </w:r>
      <w:r w:rsidR="00BB40AB">
        <w:rPr>
          <w:rFonts w:ascii="Times New Roman" w:hAnsi="Times New Roman" w:cs="Times New Roman"/>
          <w:sz w:val="28"/>
          <w:szCs w:val="28"/>
        </w:rPr>
        <w:t xml:space="preserve">Предметные, включающие освоенный обучающимися в ходе изучения учебного предмета </w:t>
      </w:r>
      <w:r w:rsidR="00BB40AB" w:rsidRPr="00BB40AB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="00BB40AB">
        <w:rPr>
          <w:rFonts w:ascii="Times New Roman" w:hAnsi="Times New Roman" w:cs="Times New Roman"/>
          <w:sz w:val="28"/>
          <w:szCs w:val="28"/>
        </w:rPr>
        <w:t xml:space="preserve"> специфической для данной предметной области деятельности </w:t>
      </w:r>
      <w:r w:rsidR="00BB40AB" w:rsidRPr="00BB40AB">
        <w:rPr>
          <w:rFonts w:ascii="Times New Roman" w:hAnsi="Times New Roman" w:cs="Times New Roman"/>
          <w:sz w:val="28"/>
          <w:szCs w:val="28"/>
          <w:u w:val="single"/>
        </w:rPr>
        <w:t>по получению нового знания, его преобразованию и применению</w:t>
      </w:r>
      <w:r w:rsidR="00BB40AB">
        <w:rPr>
          <w:rFonts w:ascii="Times New Roman" w:hAnsi="Times New Roman" w:cs="Times New Roman"/>
          <w:sz w:val="28"/>
          <w:szCs w:val="28"/>
        </w:rPr>
        <w:t xml:space="preserve">, …». </w:t>
      </w:r>
    </w:p>
    <w:p w:rsidR="0091777A" w:rsidRPr="003E3298" w:rsidRDefault="0091777A" w:rsidP="00411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</w:t>
      </w:r>
      <w:r w:rsidRPr="003E3298">
        <w:rPr>
          <w:rFonts w:ascii="Times New Roman" w:hAnsi="Times New Roman" w:cs="Times New Roman"/>
          <w:sz w:val="28"/>
          <w:szCs w:val="28"/>
        </w:rPr>
        <w:t xml:space="preserve">рямой постановкой задач и линейным увеличением ресурсов личностные, </w:t>
      </w:r>
      <w:proofErr w:type="spellStart"/>
      <w:r w:rsidRPr="003E329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E3298">
        <w:rPr>
          <w:rFonts w:ascii="Times New Roman" w:hAnsi="Times New Roman" w:cs="Times New Roman"/>
          <w:sz w:val="28"/>
          <w:szCs w:val="28"/>
        </w:rPr>
        <w:t xml:space="preserve"> и предметные рез</w:t>
      </w:r>
      <w:r>
        <w:rPr>
          <w:rFonts w:ascii="Times New Roman" w:hAnsi="Times New Roman" w:cs="Times New Roman"/>
          <w:sz w:val="28"/>
          <w:szCs w:val="28"/>
        </w:rPr>
        <w:t>ультаты, обозначенные стандартами начального и основного общего образования</w:t>
      </w:r>
      <w:r w:rsidRPr="003E3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E3298">
        <w:rPr>
          <w:rFonts w:ascii="Times New Roman" w:hAnsi="Times New Roman" w:cs="Times New Roman"/>
          <w:sz w:val="28"/>
          <w:szCs w:val="28"/>
        </w:rPr>
        <w:t>достигнуты быть не могут. Требуется особый инновационный ресурс, теоретический и методологический прорыв, новая дидактика. Такое положение дел можно считать кризисным, конфликтным, а  разрешение данных противоречий должно стать актом развития всех субъектов образовательной деятельности.</w:t>
      </w:r>
    </w:p>
    <w:p w:rsidR="00DA2158" w:rsidRPr="003E3298" w:rsidRDefault="004B6F54" w:rsidP="00411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 xml:space="preserve">Подтверждением описанной ситуации является обращение разработчиков программ реализации стандарта к деятельностной педагогике, то есть такой педагогике, которая может ставить и решать задачи развития. Смысл заключается в том, что задача развития ребенка является первичной, </w:t>
      </w:r>
      <w:r w:rsidR="00DA2158" w:rsidRPr="003E3298">
        <w:rPr>
          <w:rFonts w:ascii="Times New Roman" w:hAnsi="Times New Roman" w:cs="Times New Roman"/>
          <w:sz w:val="28"/>
          <w:szCs w:val="28"/>
        </w:rPr>
        <w:t>с</w:t>
      </w:r>
      <w:r w:rsidRPr="003E3298">
        <w:rPr>
          <w:rFonts w:ascii="Times New Roman" w:hAnsi="Times New Roman" w:cs="Times New Roman"/>
          <w:sz w:val="28"/>
          <w:szCs w:val="28"/>
        </w:rPr>
        <w:t xml:space="preserve">начала мы развиваем в ребенке определенные способности, а затем на этой «базе» получаем остальные образовательные результаты. </w:t>
      </w:r>
    </w:p>
    <w:p w:rsidR="0018477C" w:rsidRPr="003E3298" w:rsidRDefault="004B6F54" w:rsidP="00411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>Мы на</w:t>
      </w:r>
      <w:r w:rsidR="0018477C" w:rsidRPr="003E3298">
        <w:rPr>
          <w:rFonts w:ascii="Times New Roman" w:hAnsi="Times New Roman" w:cs="Times New Roman"/>
          <w:sz w:val="28"/>
          <w:szCs w:val="28"/>
        </w:rPr>
        <w:t xml:space="preserve">зываем это педагогикой развития. В ее основе, по В.В.Давыдову, лежат два метода: метод проектов и формирующий эксперимент. </w:t>
      </w:r>
      <w:r w:rsidRPr="003E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54" w:rsidRPr="003E3298" w:rsidRDefault="004B6F54" w:rsidP="00411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>При таком подходе возникает ряд законных вопросов.</w:t>
      </w:r>
    </w:p>
    <w:p w:rsidR="004B6F54" w:rsidRPr="003E3298" w:rsidRDefault="004B6F54" w:rsidP="001E008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>Возможен ли сам по себе такой подход?</w:t>
      </w:r>
    </w:p>
    <w:p w:rsidR="00A06517" w:rsidRPr="003E3298" w:rsidRDefault="004B6F54" w:rsidP="001E008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>Кто является субъектами развития (ученик, учитель, оба, школа)?</w:t>
      </w:r>
      <w:r w:rsidR="0018477C" w:rsidRPr="003E3298">
        <w:rPr>
          <w:rFonts w:ascii="Times New Roman" w:hAnsi="Times New Roman" w:cs="Times New Roman"/>
          <w:sz w:val="28"/>
          <w:szCs w:val="28"/>
        </w:rPr>
        <w:t xml:space="preserve"> </w:t>
      </w:r>
      <w:r w:rsidR="00904E88">
        <w:rPr>
          <w:rFonts w:ascii="Times New Roman" w:hAnsi="Times New Roman" w:cs="Times New Roman"/>
          <w:sz w:val="28"/>
          <w:szCs w:val="28"/>
        </w:rPr>
        <w:t xml:space="preserve">То есть, как взаимодействуют полюса по оси </w:t>
      </w:r>
      <w:proofErr w:type="gramStart"/>
      <w:r w:rsidR="00904E88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904E88">
        <w:rPr>
          <w:rFonts w:ascii="Times New Roman" w:hAnsi="Times New Roman" w:cs="Times New Roman"/>
          <w:sz w:val="28"/>
          <w:szCs w:val="28"/>
        </w:rPr>
        <w:t xml:space="preserve">  ↔ ТК ?</w:t>
      </w:r>
    </w:p>
    <w:p w:rsidR="0018477C" w:rsidRPr="003E3298" w:rsidRDefault="0018477C" w:rsidP="001E008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lastRenderedPageBreak/>
        <w:t xml:space="preserve">Что является содержанием задач развития, какие психические новообразования и способности ребенка мы развиваем, как они пересекаются с личностными и </w:t>
      </w:r>
      <w:proofErr w:type="spellStart"/>
      <w:r w:rsidRPr="003E3298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3E3298">
        <w:rPr>
          <w:rFonts w:ascii="Times New Roman" w:hAnsi="Times New Roman" w:cs="Times New Roman"/>
          <w:sz w:val="28"/>
          <w:szCs w:val="28"/>
        </w:rPr>
        <w:t xml:space="preserve"> результатами?</w:t>
      </w:r>
    </w:p>
    <w:p w:rsidR="0018477C" w:rsidRPr="003E3298" w:rsidRDefault="0018477C" w:rsidP="001E008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 xml:space="preserve"> Как ставить и решать задачи развития, на каком материале, что является предметностью задач развития?</w:t>
      </w:r>
    </w:p>
    <w:p w:rsidR="0018477C" w:rsidRPr="003E3298" w:rsidRDefault="0018477C" w:rsidP="001E008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 xml:space="preserve">Как сочетать в ограниченном </w:t>
      </w:r>
      <w:proofErr w:type="spellStart"/>
      <w:r w:rsidRPr="003E3298">
        <w:rPr>
          <w:rFonts w:ascii="Times New Roman" w:hAnsi="Times New Roman" w:cs="Times New Roman"/>
          <w:sz w:val="28"/>
          <w:szCs w:val="28"/>
        </w:rPr>
        <w:t>хронотопе</w:t>
      </w:r>
      <w:proofErr w:type="spellEnd"/>
      <w:r w:rsidRPr="003E3298">
        <w:rPr>
          <w:rFonts w:ascii="Times New Roman" w:hAnsi="Times New Roman" w:cs="Times New Roman"/>
          <w:sz w:val="28"/>
          <w:szCs w:val="28"/>
        </w:rPr>
        <w:t xml:space="preserve"> пространства и времени задачи развития и задачи достижения образовательных результатов, предусмотренных стандартом?</w:t>
      </w:r>
    </w:p>
    <w:p w:rsidR="0018477C" w:rsidRDefault="0018477C" w:rsidP="00411D5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>Через какое горнило задач собственного развития должен пройти студент или учитель, чтобы ставить и решать задачи развития детей?</w:t>
      </w:r>
    </w:p>
    <w:p w:rsidR="00D70493" w:rsidRPr="003E3298" w:rsidRDefault="00D70493" w:rsidP="00411D5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 ли современная педагогика развития разрешать все противоречия образовательного пространства системы?</w:t>
      </w:r>
    </w:p>
    <w:p w:rsidR="00EB613A" w:rsidRDefault="00A06517" w:rsidP="00411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98">
        <w:rPr>
          <w:rFonts w:ascii="Times New Roman" w:hAnsi="Times New Roman" w:cs="Times New Roman"/>
          <w:sz w:val="28"/>
          <w:szCs w:val="28"/>
        </w:rPr>
        <w:t xml:space="preserve">Первые пять вопросов уже успешно решены или решаются в </w:t>
      </w:r>
      <w:r w:rsidR="00411D56">
        <w:rPr>
          <w:rFonts w:ascii="Times New Roman" w:hAnsi="Times New Roman" w:cs="Times New Roman"/>
          <w:sz w:val="28"/>
          <w:szCs w:val="28"/>
        </w:rPr>
        <w:t>практике системы</w:t>
      </w:r>
      <w:r w:rsidRPr="003E3298">
        <w:rPr>
          <w:rFonts w:ascii="Times New Roman" w:hAnsi="Times New Roman" w:cs="Times New Roman"/>
          <w:sz w:val="28"/>
          <w:szCs w:val="28"/>
        </w:rPr>
        <w:t xml:space="preserve"> развивающего обучения Д.Б.Эльконина и В.В.Давыдова. Возможно, они будут решены и в других образовательных технологиях. Нас же в большей мере интересует шестой вопрос, который можно понять так: каким должен быть учитель, способный реализовать все требования стандарта, какова должна быть технология и практика его подготовки? Для нас этот вопрос конкретизируется следующим образом. Возможен ли перенос</w:t>
      </w:r>
      <w:r w:rsidR="00904E88">
        <w:rPr>
          <w:rFonts w:ascii="Times New Roman" w:hAnsi="Times New Roman" w:cs="Times New Roman"/>
          <w:sz w:val="28"/>
          <w:szCs w:val="28"/>
        </w:rPr>
        <w:t xml:space="preserve"> принципов,</w:t>
      </w:r>
      <w:r w:rsidRPr="003E3298">
        <w:rPr>
          <w:rFonts w:ascii="Times New Roman" w:hAnsi="Times New Roman" w:cs="Times New Roman"/>
          <w:sz w:val="28"/>
          <w:szCs w:val="28"/>
        </w:rPr>
        <w:t xml:space="preserve"> методов теории и практики развивающего обучения на профессиональную школу, на способ подготовки педагогов? </w:t>
      </w:r>
    </w:p>
    <w:p w:rsidR="00D70493" w:rsidRDefault="00D70493" w:rsidP="00411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Седьмой вопрос требует </w:t>
      </w:r>
      <w:r w:rsidR="00F70604">
        <w:rPr>
          <w:rFonts w:ascii="Times New Roman" w:hAnsi="Times New Roman" w:cs="Times New Roman"/>
          <w:sz w:val="28"/>
          <w:szCs w:val="28"/>
        </w:rPr>
        <w:t>пересмотра принципов современной дидактики с учетом векторных напряжений образовательного пространства.</w:t>
      </w:r>
    </w:p>
    <w:p w:rsidR="00174671" w:rsidRDefault="00174671" w:rsidP="00411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671" w:rsidRPr="003E3298" w:rsidRDefault="00174671" w:rsidP="001746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D3DAE" w:rsidRDefault="00FD3DAE" w:rsidP="00FD3DA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74671" w:rsidRDefault="00174671" w:rsidP="001746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Фрумин И.Д., Эльконин Б.Д. Образовательное пространство как пространство развития («школа взросления»). Вопросы психологии, 1993, № 1, с. 24 – 32.</w:t>
      </w:r>
    </w:p>
    <w:p w:rsidR="00C36285" w:rsidRDefault="00C36285" w:rsidP="00C3628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C36285" w:rsidRDefault="00C36285" w:rsidP="00C3628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Виктор Георгиевич,</w:t>
      </w:r>
    </w:p>
    <w:p w:rsidR="00C36285" w:rsidRDefault="00C36285" w:rsidP="00C3628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базовой кафедрой</w:t>
      </w:r>
    </w:p>
    <w:p w:rsidR="00C36285" w:rsidRDefault="00C36285" w:rsidP="00C3628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«Педагогика развития» ИППС СФУ</w:t>
      </w:r>
    </w:p>
    <w:p w:rsidR="00C36285" w:rsidRDefault="00C36285" w:rsidP="00C3628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89135378021, </w:t>
      </w:r>
    </w:p>
    <w:p w:rsidR="00C36285" w:rsidRDefault="00C36285" w:rsidP="00C36285">
      <w:pPr>
        <w:pStyle w:val="a3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6423E4" w:rsidRPr="000E03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vgvasil2@yandex.ru</w:t>
        </w:r>
      </w:hyperlink>
    </w:p>
    <w:p w:rsidR="006423E4" w:rsidRPr="00C201B9" w:rsidRDefault="00C201B9" w:rsidP="006423E4">
      <w:pPr>
        <w:jc w:val="center"/>
        <w:rPr>
          <w:rFonts w:ascii="Times New Roman" w:hAnsi="Times New Roman" w:cs="Times New Roman"/>
          <w:b/>
        </w:rPr>
      </w:pPr>
      <w:r w:rsidRPr="00C201B9">
        <w:rPr>
          <w:rFonts w:ascii="Times New Roman" w:hAnsi="Times New Roman" w:cs="Times New Roman"/>
          <w:b/>
        </w:rPr>
        <w:t xml:space="preserve">Опубликовано: </w:t>
      </w:r>
      <w:r w:rsidR="006423E4" w:rsidRPr="00C201B9">
        <w:rPr>
          <w:rFonts w:ascii="Times New Roman" w:hAnsi="Times New Roman" w:cs="Times New Roman"/>
          <w:b/>
        </w:rPr>
        <w:t xml:space="preserve">Сборник материалов </w:t>
      </w:r>
      <w:r w:rsidR="006423E4" w:rsidRPr="00C201B9">
        <w:rPr>
          <w:rFonts w:ascii="Times New Roman" w:hAnsi="Times New Roman" w:cs="Times New Roman"/>
          <w:b/>
          <w:lang w:val="en-US"/>
        </w:rPr>
        <w:t>IV</w:t>
      </w:r>
      <w:r w:rsidR="006423E4" w:rsidRPr="00C201B9">
        <w:rPr>
          <w:rFonts w:ascii="Times New Roman" w:hAnsi="Times New Roman" w:cs="Times New Roman"/>
          <w:b/>
        </w:rPr>
        <w:t>-</w:t>
      </w:r>
      <w:proofErr w:type="spellStart"/>
      <w:r w:rsidR="006423E4" w:rsidRPr="00C201B9">
        <w:rPr>
          <w:rFonts w:ascii="Times New Roman" w:hAnsi="Times New Roman" w:cs="Times New Roman"/>
          <w:b/>
        </w:rPr>
        <w:t>й</w:t>
      </w:r>
      <w:proofErr w:type="spellEnd"/>
      <w:r w:rsidR="006423E4" w:rsidRPr="00C201B9">
        <w:rPr>
          <w:rFonts w:ascii="Times New Roman" w:hAnsi="Times New Roman" w:cs="Times New Roman"/>
          <w:b/>
        </w:rPr>
        <w:t xml:space="preserve"> научно-методической конференции «Современная дидактика и качество образования: обеспечение индивидуального прогресса в обучении»: - Красноярск, январь 2012. Красноярск,  ИПК, 2012, с. 156-160.</w:t>
      </w:r>
    </w:p>
    <w:sectPr w:rsidR="006423E4" w:rsidRPr="00C201B9" w:rsidSect="003E32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2E8"/>
    <w:multiLevelType w:val="hybridMultilevel"/>
    <w:tmpl w:val="5E5086E0"/>
    <w:lvl w:ilvl="0" w:tplc="E8D02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63A7"/>
    <w:multiLevelType w:val="hybridMultilevel"/>
    <w:tmpl w:val="3D60E142"/>
    <w:lvl w:ilvl="0" w:tplc="C2721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864FE"/>
    <w:multiLevelType w:val="hybridMultilevel"/>
    <w:tmpl w:val="5158EC74"/>
    <w:lvl w:ilvl="0" w:tplc="B1EC5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256F87"/>
    <w:multiLevelType w:val="hybridMultilevel"/>
    <w:tmpl w:val="224E8532"/>
    <w:lvl w:ilvl="0" w:tplc="19C2A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63555B"/>
    <w:multiLevelType w:val="hybridMultilevel"/>
    <w:tmpl w:val="028C1B68"/>
    <w:lvl w:ilvl="0" w:tplc="8A52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3B"/>
    <w:rsid w:val="00105999"/>
    <w:rsid w:val="00174671"/>
    <w:rsid w:val="0018477C"/>
    <w:rsid w:val="001B53D2"/>
    <w:rsid w:val="001E0088"/>
    <w:rsid w:val="002A5F10"/>
    <w:rsid w:val="002B11EF"/>
    <w:rsid w:val="00380B25"/>
    <w:rsid w:val="003970B4"/>
    <w:rsid w:val="003A0BDB"/>
    <w:rsid w:val="003A65D4"/>
    <w:rsid w:val="003C498D"/>
    <w:rsid w:val="003E3298"/>
    <w:rsid w:val="00411D56"/>
    <w:rsid w:val="004911BB"/>
    <w:rsid w:val="004B6F54"/>
    <w:rsid w:val="004F3FA3"/>
    <w:rsid w:val="0059593E"/>
    <w:rsid w:val="005B5DC8"/>
    <w:rsid w:val="00615729"/>
    <w:rsid w:val="006423E4"/>
    <w:rsid w:val="00666E3B"/>
    <w:rsid w:val="006C2C68"/>
    <w:rsid w:val="006C7754"/>
    <w:rsid w:val="006E1F36"/>
    <w:rsid w:val="00782EC2"/>
    <w:rsid w:val="008B43C4"/>
    <w:rsid w:val="00904E88"/>
    <w:rsid w:val="0091777A"/>
    <w:rsid w:val="00917B28"/>
    <w:rsid w:val="009E09AE"/>
    <w:rsid w:val="00A06517"/>
    <w:rsid w:val="00A45471"/>
    <w:rsid w:val="00A755B6"/>
    <w:rsid w:val="00AF29C5"/>
    <w:rsid w:val="00B019D7"/>
    <w:rsid w:val="00B15A34"/>
    <w:rsid w:val="00B247D6"/>
    <w:rsid w:val="00B84E9D"/>
    <w:rsid w:val="00BB40AB"/>
    <w:rsid w:val="00BC6F65"/>
    <w:rsid w:val="00BE6A30"/>
    <w:rsid w:val="00C12930"/>
    <w:rsid w:val="00C201B9"/>
    <w:rsid w:val="00C36285"/>
    <w:rsid w:val="00C36F96"/>
    <w:rsid w:val="00CC62A4"/>
    <w:rsid w:val="00D21DA8"/>
    <w:rsid w:val="00D245F4"/>
    <w:rsid w:val="00D24C54"/>
    <w:rsid w:val="00D369C7"/>
    <w:rsid w:val="00D47C1C"/>
    <w:rsid w:val="00D70493"/>
    <w:rsid w:val="00D72B7D"/>
    <w:rsid w:val="00DA2158"/>
    <w:rsid w:val="00DA6455"/>
    <w:rsid w:val="00DD2CD9"/>
    <w:rsid w:val="00E33726"/>
    <w:rsid w:val="00E96E24"/>
    <w:rsid w:val="00EA5C2A"/>
    <w:rsid w:val="00EB613A"/>
    <w:rsid w:val="00F23E7B"/>
    <w:rsid w:val="00F70604"/>
    <w:rsid w:val="00F845A8"/>
    <w:rsid w:val="00FC75B2"/>
    <w:rsid w:val="00FD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75"/>
        <o:r id="V:Rule12" type="connector" idref="#_x0000_s1067"/>
        <o:r id="V:Rule13" type="connector" idref="#_x0000_s1076"/>
        <o:r id="V:Rule14" type="connector" idref="#_x0000_s1093"/>
        <o:r id="V:Rule15" type="connector" idref="#_x0000_s1077"/>
        <o:r id="V:Rule16" type="connector" idref="#_x0000_s1094"/>
        <o:r id="V:Rule17" type="connector" idref="#_x0000_s1088"/>
        <o:r id="V:Rule18" type="connector" idref="#_x0000_s1087"/>
        <o:r id="V:Rule19" type="connector" idref="#_x0000_s1086"/>
        <o:r id="V:Rule2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gvasil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2012-01-22T02:18:00Z</dcterms:created>
  <dcterms:modified xsi:type="dcterms:W3CDTF">2015-03-27T08:33:00Z</dcterms:modified>
</cp:coreProperties>
</file>